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99"/>
        <w:gridCol w:w="3859"/>
        <w:gridCol w:w="2166"/>
        <w:gridCol w:w="2915"/>
      </w:tblGrid>
      <w:tr w:rsidR="00926299" w:rsidTr="00993479">
        <w:trPr>
          <w:cantSplit/>
          <w:trHeight w:val="3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99" w:rsidRDefault="00926299" w:rsidP="009934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26299" w:rsidRDefault="00926299" w:rsidP="009934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Oddziały szpitalne</w:t>
            </w:r>
          </w:p>
          <w:p w:rsidR="00926299" w:rsidRDefault="00926299" w:rsidP="009934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926299" w:rsidTr="0099347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99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99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Default="00926299" w:rsidP="00993479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Jednostka rozliczeniowa udzielonego świadczenia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Default="00926299" w:rsidP="00993479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Wysokość opłaty za 1 punkt</w:t>
            </w:r>
          </w:p>
          <w:p w:rsidR="00926299" w:rsidRDefault="00926299" w:rsidP="00993479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(w złotych) *</w:t>
            </w:r>
          </w:p>
        </w:tc>
      </w:tr>
      <w:tr w:rsidR="00926299" w:rsidTr="0099347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Default="00926299" w:rsidP="00993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Default="00926299" w:rsidP="00993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Default="00926299" w:rsidP="00993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III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Default="00926299" w:rsidP="00993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IV</w:t>
            </w:r>
          </w:p>
        </w:tc>
      </w:tr>
      <w:tr w:rsidR="00352A97" w:rsidRPr="00352A97" w:rsidTr="00352A97">
        <w:trPr>
          <w:cantSplit/>
          <w:trHeight w:val="48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rPr>
                <w:rFonts w:ascii="Times New Roman" w:hAnsi="Times New Roman" w:cs="Times New Roman"/>
              </w:rPr>
            </w:pPr>
            <w:r w:rsidRPr="00352A97">
              <w:rPr>
                <w:rFonts w:ascii="Times New Roman" w:hAnsi="Times New Roman" w:cs="Times New Roman"/>
              </w:rPr>
              <w:t xml:space="preserve">I Oddział Chorób Wewnętrznych;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</w:rPr>
              <w:t>II Oddział Chorób Wewnętrznych;</w:t>
            </w:r>
            <w:r w:rsidRPr="00352A97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Oddział Kardiologiczny;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Oddział Intensywnego Nadzoru Kardiologicznego;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Pracownia Hemodynamiki;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Oddział Neurologiczny;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Oddział Anestezjologii i Intensywnej Terapii;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Oddział Dziecięcy;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Oddział Neonatologiczny;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Oddział Położniczo-Ginekologiczny;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</w:rPr>
            </w:pPr>
            <w:r w:rsidRPr="00352A97">
              <w:rPr>
                <w:rFonts w:ascii="Times New Roman" w:hAnsi="Times New Roman" w:cs="Times New Roman"/>
              </w:rPr>
              <w:t>Oddział  Chirurgii Ogólnej, Chirurgii Onkologicznej i Chemioterapii;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Oddział Chirurgii Urazowej i Ortopedii;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Oddział Okulistyczny;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Oddział Laryngologiczny;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Oddział Urologii i Onkologii Urologicznej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punkt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2,47</w:t>
            </w:r>
          </w:p>
        </w:tc>
        <w:bookmarkStart w:id="0" w:name="_GoBack"/>
        <w:bookmarkEnd w:id="0"/>
      </w:tr>
      <w:tr w:rsidR="00352A97" w:rsidRPr="00352A97" w:rsidTr="00993479">
        <w:trPr>
          <w:cantSplit/>
          <w:trHeight w:val="3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rPr>
                <w:rFonts w:ascii="Times New Roman" w:hAnsi="Times New Roman" w:cs="Times New Roman"/>
              </w:rPr>
            </w:pPr>
            <w:r w:rsidRPr="00352A97">
              <w:rPr>
                <w:rFonts w:ascii="Times New Roman" w:hAnsi="Arial" w:cs="Times New Roman"/>
              </w:rPr>
              <w:t>*</w:t>
            </w:r>
            <w:r w:rsidRPr="00352A97">
              <w:rPr>
                <w:rFonts w:ascii="Times New Roman" w:hAnsi="Times New Roman" w:cs="Times New Roman"/>
              </w:rPr>
              <w:t xml:space="preserve">  Wartość udzielonego świadczenia ustalona jest na podstawie wyceny punktowej stanowiącej iloczyn opłaty z kolumny nr IV i ilości punktów przypisanych do odpowiedniej porady według obowiązującego zarządzenia  Prezesa Narodowego Funduszu Zdrowia.</w:t>
            </w:r>
          </w:p>
        </w:tc>
      </w:tr>
      <w:tr w:rsidR="00352A97" w:rsidRPr="00352A97" w:rsidTr="00993479">
        <w:trPr>
          <w:cantSplit/>
          <w:trHeight w:val="30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299" w:rsidRPr="00352A97" w:rsidRDefault="00926299" w:rsidP="00993479">
            <w:pPr>
              <w:snapToGri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299" w:rsidRPr="00352A97" w:rsidRDefault="00926299" w:rsidP="00993479">
            <w:pPr>
              <w:snapToGri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Świadczenie Zdrowotne – 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Dobry Posiłek w Szpitalu</w:t>
            </w:r>
          </w:p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299" w:rsidRPr="00352A97" w:rsidRDefault="00926299" w:rsidP="00993479">
            <w:pPr>
              <w:snapToGri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punkt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9" w:rsidRPr="00352A97" w:rsidRDefault="00926299" w:rsidP="00993479">
            <w:pPr>
              <w:snapToGri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Wysokość opłaty 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za 1 pkt w złotych.</w:t>
            </w:r>
          </w:p>
        </w:tc>
      </w:tr>
      <w:tr w:rsidR="00352A97" w:rsidRPr="00352A97" w:rsidTr="00993479">
        <w:trPr>
          <w:cantSplit/>
          <w:trHeight w:val="30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II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Kardiologiczny;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Dziecięcy;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 Chirurgii Ogólnej, Chirurgii Onkologicznej i Chemioterapii;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Oddział Chorób Wewnętrznych; 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II Oddział Chorób Wewnętrznych;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Laryngologiczny;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Neurologiczny;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Urologii i Onkologii Urologicznej;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Chirurgii Urazowej i Ortopedii;</w:t>
            </w:r>
          </w:p>
          <w:p w:rsidR="00926299" w:rsidRPr="00352A97" w:rsidRDefault="00926299" w:rsidP="0099347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Okulistyczny;</w:t>
            </w:r>
          </w:p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Oddział Położniczo-Ginekologiczny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25,62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eastAsia="Calibri" w:hAnsi="Times New Roman" w:cs="Times New Roman"/>
                <w:sz w:val="23"/>
                <w:szCs w:val="23"/>
              </w:rPr>
              <w:t>1,00</w:t>
            </w:r>
          </w:p>
        </w:tc>
      </w:tr>
      <w:tr w:rsidR="00352A97" w:rsidRPr="00352A97" w:rsidTr="0099347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Jednostka rozliczeniowa udzielonego świadczenia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 xml:space="preserve">Wysokość opłaty  (w złotych) </w:t>
            </w:r>
          </w:p>
        </w:tc>
      </w:tr>
      <w:tr w:rsidR="00352A97" w:rsidRPr="00352A97" w:rsidTr="00993479">
        <w:trPr>
          <w:cantSplit/>
          <w:trHeight w:val="22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Oddział Opieki Paliatywnej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osobodzień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920,00</w:t>
            </w:r>
          </w:p>
        </w:tc>
      </w:tr>
      <w:tr w:rsidR="00352A97" w:rsidRPr="00352A97" w:rsidTr="0099347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Stacja Dializ - bez transportu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center"/>
              <w:rPr>
                <w:rFonts w:ascii="Times New Roman" w:hAnsi="Times New Roman" w:cs="Times New Roman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dializa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99" w:rsidRPr="00352A97" w:rsidRDefault="00926299" w:rsidP="0099347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352A97">
              <w:rPr>
                <w:rFonts w:ascii="Times New Roman" w:hAnsi="Times New Roman" w:cs="Times New Roman"/>
                <w:snapToGrid w:val="0"/>
              </w:rPr>
              <w:t>770,00</w:t>
            </w:r>
          </w:p>
        </w:tc>
      </w:tr>
    </w:tbl>
    <w:p w:rsidR="00926299" w:rsidRDefault="00926299" w:rsidP="00926299">
      <w:pPr>
        <w:jc w:val="both"/>
      </w:pPr>
      <w:r w:rsidRPr="00352A97">
        <w:rPr>
          <w:rFonts w:ascii="Times New Roman" w:hAnsi="Times New Roman" w:cs="Times New Roman"/>
          <w:sz w:val="18"/>
          <w:szCs w:val="18"/>
        </w:rPr>
        <w:t xml:space="preserve">Opracował: Dział Marketingu. Wprowadzono na podstawie Załącznika Nr 1 do Regulaminu Organizacyjnego Szpitala </w:t>
      </w:r>
      <w:r>
        <w:rPr>
          <w:rFonts w:ascii="Times New Roman" w:hAnsi="Times New Roman" w:cs="Times New Roman"/>
          <w:sz w:val="18"/>
          <w:szCs w:val="18"/>
        </w:rPr>
        <w:t>Wielospecjalistycznego im. dr. Ludwika Błażka w Inowrocławiu (tekst jedn.: Zarządzenie Nr 1/2024 Dyrektora Szpitala Wielospecjalistycznego im. dr. Ludwika Błażka w Inowrocławiu z dnia 11.01.2024r. z późniejszymi zmianami). Ostatnia aktualizacja: 01.02.2025r.</w:t>
      </w:r>
    </w:p>
    <w:p w:rsidR="00926299" w:rsidRDefault="00926299" w:rsidP="00926299"/>
    <w:p w:rsidR="00AB5EC3" w:rsidRDefault="00AB5EC3"/>
    <w:sectPr w:rsidR="00AB5EC3" w:rsidSect="0092629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FC"/>
    <w:rsid w:val="002401FC"/>
    <w:rsid w:val="00352A97"/>
    <w:rsid w:val="00926299"/>
    <w:rsid w:val="00A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2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2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3</cp:revision>
  <dcterms:created xsi:type="dcterms:W3CDTF">2025-01-29T07:12:00Z</dcterms:created>
  <dcterms:modified xsi:type="dcterms:W3CDTF">2025-01-31T10:33:00Z</dcterms:modified>
</cp:coreProperties>
</file>