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549" w:type="dxa"/>
        <w:tblInd w:w="108" w:type="dxa"/>
        <w:tblLook w:val="04A0" w:firstRow="1" w:lastRow="0" w:firstColumn="1" w:lastColumn="0" w:noHBand="0" w:noVBand="1"/>
      </w:tblPr>
      <w:tblGrid>
        <w:gridCol w:w="692"/>
        <w:gridCol w:w="5969"/>
        <w:gridCol w:w="2888"/>
      </w:tblGrid>
      <w:tr w:rsidR="00EE3A52" w:rsidRPr="00640DFA" w:rsidTr="00126CE5">
        <w:trPr>
          <w:cantSplit/>
          <w:trHeight w:val="297"/>
        </w:trPr>
        <w:tc>
          <w:tcPr>
            <w:tcW w:w="9549" w:type="dxa"/>
            <w:gridSpan w:val="3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Zakład Mikrobiologii Lekarskiej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Preparat barwiony metodą Grama (np. czystość pochwy)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32,00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Posiew moczu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37,00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Posiew końcówki cewnika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  <w:lang w:val="en-US"/>
              </w:rPr>
              <w:t xml:space="preserve">37,00    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Posiew - plwocina, popłuczyny, BAL,  gardło, nos, nasienie, cewka, ucho, oko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  <w:lang w:val="en-US"/>
              </w:rPr>
              <w:t>39,00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Posiew w kierunku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Streptococcus</w:t>
            </w:r>
            <w:proofErr w:type="spellEnd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agalactie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SGB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39,00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Posiew – rana,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ropa,płyn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… beztlenowy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49,00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  <w:lang w:val="de-DE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Posiew – rana, ropa, płyn… tlenowy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  <w:lang w:val="de-DE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  <w:lang w:val="de-DE"/>
              </w:rPr>
              <w:t>42,00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Posiew – wymaz z odbytu, kał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49,00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Wymaz z miejsca wkłucia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30,00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Posiew płynu ustrojowego  w butelce pediatrycznej z neutralizatorem antybiotyków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50,00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Posiew płynu ustrojowego  w butelce tlenowej z neutralizatorem antybiotyków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50,00</w:t>
            </w:r>
          </w:p>
        </w:tc>
      </w:tr>
      <w:tr w:rsidR="00EE3A52" w:rsidRPr="00640DFA" w:rsidTr="00126CE5">
        <w:trPr>
          <w:cantSplit/>
          <w:trHeight w:val="284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Posiew płynu ustrojowego  w butelce z czynnikiem lizującym makrofagi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49,00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Identyfikacja manualna drobnoustrojów tlenowych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36,00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Identyfikacja metodą automatyczną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61,00</w:t>
            </w:r>
          </w:p>
        </w:tc>
      </w:tr>
      <w:tr w:rsidR="00EE3A52" w:rsidRPr="00640DFA" w:rsidTr="00126CE5">
        <w:trPr>
          <w:cantSplit/>
          <w:trHeight w:val="499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Wykrywanie antygenów w PMR metodą lateksową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200,00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Antybiogram metodą </w:t>
            </w: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dyfuzyjno</w:t>
            </w:r>
            <w:proofErr w:type="spellEnd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-krążkową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37,00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Antybiogram rozszerzony metoda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dyfuzyjno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-krążkową (drobnoustroje lekooporne)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37,00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Antybiogram MIC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63,00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Antybiogram dla beztlenowców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91,00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800834" w:rsidRDefault="00800834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800834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skreślony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trike/>
                <w:snapToGrid w:val="0"/>
              </w:rPr>
            </w:pP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Posiew płynów dializacyjnych wody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44,00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Oznaczanie zawartości endotoksyn bakteryjnych testem LAL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127,00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Kontrola procesu sterylizacji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37,00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Mikrobiologiczna kontrola czystości powierzchni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34,00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Mikrobiologiczna kontrola czystości powietrza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36,00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Mikrobiologiczna kontrola czystości rąk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36,00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Posiew w kierunku nosicielstwa MRSA, ESBL, MBL, KPC, VRE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49,00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Posiew w kierunku nosicielstwa MRSA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35,00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Posiew w kierunku nosicielstwa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Staphylococcus</w:t>
            </w:r>
            <w:proofErr w:type="spellEnd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aureus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35,00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Posiew w kierunku rzeżączki –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Neisseria</w:t>
            </w:r>
            <w:proofErr w:type="spellEnd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gonorrhoeae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42,00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Posiew w kierunku grzybów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35,00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spacing w:after="60" w:line="22" w:lineRule="atLeast"/>
              <w:rPr>
                <w:rFonts w:ascii="Times New Roman" w:eastAsia="Calibri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Hodowla w kierunku rzęsistka pochwowego - </w:t>
            </w:r>
          </w:p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Trichomonas</w:t>
            </w:r>
            <w:proofErr w:type="spellEnd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vaginalis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49,00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Badanie w kierunku obecności (preparat) Nużeńca ludzkiego - 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Demodex</w:t>
            </w:r>
            <w:proofErr w:type="spellEnd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folliculorum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37,00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eastAsia="Calibri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Hodowla, identyfikacja,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lekowrażliwość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Mycoplasma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hominis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i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Ureoplasma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sp. w zakażeniach układu </w:t>
            </w:r>
          </w:p>
          <w:p w:rsidR="00EE3A52" w:rsidRPr="00640DFA" w:rsidRDefault="00EE3A52" w:rsidP="00126CE5">
            <w:pPr>
              <w:rPr>
                <w:rFonts w:ascii="Times New Roman" w:eastAsia="Calibri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moczowo-płciowego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70,00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9549" w:type="dxa"/>
            <w:gridSpan w:val="3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b/>
                <w:i/>
                <w:snapToGrid w:val="0"/>
              </w:rPr>
              <w:t xml:space="preserve">Testy </w:t>
            </w:r>
            <w:proofErr w:type="spellStart"/>
            <w:r w:rsidRPr="00640DFA">
              <w:rPr>
                <w:rFonts w:ascii="Times New Roman" w:hAnsi="Times New Roman" w:cs="Times New Roman"/>
                <w:b/>
                <w:i/>
                <w:snapToGrid w:val="0"/>
              </w:rPr>
              <w:t>immunochromatograficzne</w:t>
            </w:r>
            <w:proofErr w:type="spellEnd"/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lastRenderedPageBreak/>
              <w:t>35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Wykrywanie antygenów </w:t>
            </w: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Adeno</w:t>
            </w:r>
            <w:proofErr w:type="spellEnd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, Rota, Noro, Astro-wirusów w kale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99,00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Badanie w kierunku noro- wirusów w kale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102,00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Badanie w kierunku rota i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adeno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-wirusów w kale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44,00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Wykrywanie </w:t>
            </w:r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antygenów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Campylobacter</w:t>
            </w:r>
            <w:proofErr w:type="spellEnd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  coli i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jejuni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w kale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88,00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Wykrywanie toksyny A i B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Clostridum</w:t>
            </w:r>
            <w:proofErr w:type="spellEnd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difficile</w:t>
            </w:r>
            <w:proofErr w:type="spellEnd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 </w:t>
            </w: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w kale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99,00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Wykrywanie DHG i toksyny A i B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C.difficile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w kale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99,00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Wykrywanie antygenów wirusa RSV/ADENO w wymazach z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nosogardzieli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60,00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Wykrywanie antygenu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S.pneumoniae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w moczu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76,00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Wykrywanie antygenów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Helicobacter</w:t>
            </w:r>
            <w:proofErr w:type="spellEnd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pylori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w kale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44,00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Wykrywanie antygenów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Legionella</w:t>
            </w:r>
            <w:proofErr w:type="spellEnd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pneumophilia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s. 1 w moczu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88,00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Wykrywanie antygenów </w:t>
            </w:r>
            <w:proofErr w:type="spellStart"/>
            <w:r w:rsidRPr="00640DFA">
              <w:rPr>
                <w:rFonts w:ascii="Times New Roman" w:eastAsia="Calibri" w:hAnsi="Times New Roman"/>
                <w:i/>
                <w:snapToGrid w:val="0"/>
                <w:sz w:val="23"/>
                <w:szCs w:val="23"/>
              </w:rPr>
              <w:t>S.pyogenes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w wymazie z gardła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44,00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spacing w:line="264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Wykrywanie antygenów wirusa grypy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AiB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w wymazach z 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nosogardzieli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, nosa, z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aspiratów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z układu oddechowego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55,00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spacing w:line="264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Wykrywanie </w:t>
            </w:r>
            <w:proofErr w:type="spellStart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>karbapenemaz</w:t>
            </w:r>
            <w:proofErr w:type="spellEnd"/>
            <w:r w:rsidRPr="00640DFA">
              <w:rPr>
                <w:rFonts w:ascii="Times New Roman" w:eastAsia="Calibri" w:hAnsi="Times New Roman"/>
                <w:snapToGrid w:val="0"/>
                <w:sz w:val="23"/>
                <w:szCs w:val="23"/>
              </w:rPr>
              <w:t xml:space="preserve"> metodą chromatograficzną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110,00</w:t>
            </w:r>
          </w:p>
        </w:tc>
      </w:tr>
      <w:tr w:rsidR="00EE3A52" w:rsidRPr="00640DFA" w:rsidTr="00126CE5">
        <w:trPr>
          <w:cantSplit/>
          <w:trHeight w:val="297"/>
        </w:trPr>
        <w:tc>
          <w:tcPr>
            <w:tcW w:w="9549" w:type="dxa"/>
            <w:gridSpan w:val="3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b/>
                <w:i/>
                <w:snapToGrid w:val="0"/>
              </w:rPr>
              <w:t>Testy genetyczne</w:t>
            </w:r>
          </w:p>
        </w:tc>
      </w:tr>
      <w:tr w:rsidR="00EE3A52" w:rsidRPr="00640DFA" w:rsidTr="00126CE5">
        <w:trPr>
          <w:cantSplit/>
          <w:trHeight w:val="915"/>
        </w:trPr>
        <w:tc>
          <w:tcPr>
            <w:tcW w:w="692" w:type="dxa"/>
            <w:tcBorders>
              <w:bottom w:val="single" w:sz="4" w:space="0" w:color="auto"/>
            </w:tcBorders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EE3A52" w:rsidRPr="00640DFA" w:rsidRDefault="00EE3A52" w:rsidP="00126CE5">
            <w:pPr>
              <w:spacing w:line="264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 xml:space="preserve">Wykrywanie DNA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>Mykoplasma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>pneumoniae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 xml:space="preserve"> w próbkach z wymazów z gardła/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>nosogardzieli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>, FDA z uproszczoną ekstrakcją DNA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110,00</w:t>
            </w:r>
          </w:p>
        </w:tc>
      </w:tr>
      <w:tr w:rsidR="00EE3A52" w:rsidRPr="00640DFA" w:rsidTr="00126CE5">
        <w:trPr>
          <w:cantSplit/>
          <w:trHeight w:val="198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tcBorders>
              <w:left w:val="nil"/>
              <w:right w:val="nil"/>
            </w:tcBorders>
          </w:tcPr>
          <w:p w:rsidR="00EE3A52" w:rsidRPr="00640DFA" w:rsidRDefault="00EE3A52" w:rsidP="00126CE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                                           Metoda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spektriometria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mas</w:t>
            </w:r>
          </w:p>
        </w:tc>
        <w:tc>
          <w:tcPr>
            <w:tcW w:w="2888" w:type="dxa"/>
            <w:tcBorders>
              <w:left w:val="nil"/>
              <w:right w:val="single" w:sz="4" w:space="0" w:color="auto"/>
            </w:tcBorders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E3A52" w:rsidRPr="00640DFA" w:rsidTr="00126CE5">
        <w:trPr>
          <w:cantSplit/>
          <w:trHeight w:val="198"/>
        </w:trPr>
        <w:tc>
          <w:tcPr>
            <w:tcW w:w="692" w:type="dxa"/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9" w:type="dxa"/>
          </w:tcPr>
          <w:p w:rsidR="00EE3A52" w:rsidRPr="00640DFA" w:rsidRDefault="00EE3A52" w:rsidP="00126CE5">
            <w:pPr>
              <w:spacing w:line="264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>Identyfikacja drobnoustroju</w:t>
            </w:r>
          </w:p>
        </w:tc>
        <w:tc>
          <w:tcPr>
            <w:tcW w:w="2888" w:type="dxa"/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46,00</w:t>
            </w:r>
          </w:p>
        </w:tc>
      </w:tr>
      <w:tr w:rsidR="00EE3A52" w:rsidRPr="00640DFA" w:rsidTr="00126CE5">
        <w:trPr>
          <w:cantSplit/>
          <w:trHeight w:val="198"/>
        </w:trPr>
        <w:tc>
          <w:tcPr>
            <w:tcW w:w="692" w:type="dxa"/>
            <w:tcBorders>
              <w:bottom w:val="single" w:sz="4" w:space="0" w:color="auto"/>
            </w:tcBorders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EE3A52" w:rsidRPr="00640DFA" w:rsidRDefault="00EE3A52" w:rsidP="00126CE5">
            <w:pPr>
              <w:spacing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 xml:space="preserve">Identyfikacja drobnoustroju bezpośrednio z dodatniego </w:t>
            </w:r>
          </w:p>
          <w:p w:rsidR="00EE3A52" w:rsidRPr="00640DFA" w:rsidRDefault="00EE3A52" w:rsidP="00126CE5">
            <w:pPr>
              <w:spacing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>posiewu krwi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64,00</w:t>
            </w:r>
          </w:p>
        </w:tc>
      </w:tr>
      <w:tr w:rsidR="00EE3A52" w:rsidRPr="00640DFA" w:rsidTr="00126CE5">
        <w:trPr>
          <w:cantSplit/>
          <w:trHeight w:val="198"/>
        </w:trPr>
        <w:tc>
          <w:tcPr>
            <w:tcW w:w="692" w:type="dxa"/>
            <w:tcBorders>
              <w:bottom w:val="single" w:sz="4" w:space="0" w:color="auto"/>
              <w:right w:val="nil"/>
            </w:tcBorders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69" w:type="dxa"/>
            <w:tcBorders>
              <w:left w:val="nil"/>
              <w:bottom w:val="single" w:sz="4" w:space="0" w:color="auto"/>
              <w:right w:val="nil"/>
            </w:tcBorders>
          </w:tcPr>
          <w:p w:rsidR="00EE3A52" w:rsidRPr="00640DFA" w:rsidRDefault="00EE3A52" w:rsidP="00126CE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                                                  Badania molekularne</w:t>
            </w:r>
          </w:p>
        </w:tc>
        <w:tc>
          <w:tcPr>
            <w:tcW w:w="2888" w:type="dxa"/>
            <w:tcBorders>
              <w:left w:val="nil"/>
              <w:bottom w:val="single" w:sz="4" w:space="0" w:color="auto"/>
            </w:tcBorders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</w:p>
        </w:tc>
      </w:tr>
      <w:tr w:rsidR="00EE3A52" w:rsidRPr="00640DFA" w:rsidTr="00126CE5">
        <w:trPr>
          <w:cantSplit/>
          <w:trHeight w:val="198"/>
        </w:trPr>
        <w:tc>
          <w:tcPr>
            <w:tcW w:w="692" w:type="dxa"/>
            <w:tcBorders>
              <w:right w:val="single" w:sz="4" w:space="0" w:color="auto"/>
            </w:tcBorders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9" w:type="dxa"/>
            <w:tcBorders>
              <w:left w:val="single" w:sz="4" w:space="0" w:color="auto"/>
              <w:right w:val="single" w:sz="4" w:space="0" w:color="auto"/>
            </w:tcBorders>
          </w:tcPr>
          <w:p w:rsidR="00EE3A52" w:rsidRPr="00640DFA" w:rsidRDefault="00EE3A52" w:rsidP="00126CE5">
            <w:pPr>
              <w:spacing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 xml:space="preserve">Identyfikacja drobnoustroju metodą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>multiplex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 xml:space="preserve"> PCR </w:t>
            </w:r>
          </w:p>
          <w:p w:rsidR="00EE3A52" w:rsidRPr="00640DFA" w:rsidRDefault="00EE3A52" w:rsidP="00126CE5">
            <w:pPr>
              <w:spacing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>bezpośrednio z dodatniego posiewu krwi</w:t>
            </w:r>
          </w:p>
        </w:tc>
        <w:tc>
          <w:tcPr>
            <w:tcW w:w="2888" w:type="dxa"/>
            <w:tcBorders>
              <w:left w:val="single" w:sz="4" w:space="0" w:color="auto"/>
            </w:tcBorders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480,00</w:t>
            </w:r>
          </w:p>
        </w:tc>
      </w:tr>
      <w:tr w:rsidR="00EE3A52" w:rsidRPr="00640DFA" w:rsidTr="00126CE5">
        <w:trPr>
          <w:cantSplit/>
          <w:trHeight w:val="198"/>
        </w:trPr>
        <w:tc>
          <w:tcPr>
            <w:tcW w:w="692" w:type="dxa"/>
            <w:tcBorders>
              <w:right w:val="single" w:sz="4" w:space="0" w:color="auto"/>
            </w:tcBorders>
          </w:tcPr>
          <w:p w:rsidR="00EE3A52" w:rsidRPr="00640DFA" w:rsidRDefault="00EE3A52" w:rsidP="00126CE5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9" w:type="dxa"/>
            <w:tcBorders>
              <w:left w:val="single" w:sz="4" w:space="0" w:color="auto"/>
              <w:right w:val="single" w:sz="4" w:space="0" w:color="auto"/>
            </w:tcBorders>
          </w:tcPr>
          <w:p w:rsidR="00EE3A52" w:rsidRPr="00640DFA" w:rsidRDefault="00EE3A52" w:rsidP="00126CE5">
            <w:pPr>
              <w:spacing w:line="26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 xml:space="preserve">Identyfikacja drobnoustroju metodą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>multiplex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 xml:space="preserve"> PCR</w:t>
            </w:r>
          </w:p>
          <w:p w:rsidR="00EE3A52" w:rsidRPr="00640DFA" w:rsidRDefault="00EE3A52" w:rsidP="00126CE5">
            <w:pPr>
              <w:spacing w:line="264" w:lineRule="auto"/>
              <w:ind w:hanging="98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lang w:eastAsia="pl-PL"/>
              </w:rPr>
              <w:t xml:space="preserve"> bezpośrednio z materiału z dolnych dróg oddechowych</w:t>
            </w:r>
          </w:p>
        </w:tc>
        <w:tc>
          <w:tcPr>
            <w:tcW w:w="2888" w:type="dxa"/>
            <w:tcBorders>
              <w:left w:val="single" w:sz="4" w:space="0" w:color="auto"/>
            </w:tcBorders>
          </w:tcPr>
          <w:p w:rsidR="00EE3A52" w:rsidRPr="00640DFA" w:rsidRDefault="00EE3A52" w:rsidP="00126CE5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700,00</w:t>
            </w:r>
          </w:p>
        </w:tc>
      </w:tr>
      <w:tr w:rsidR="00126CE5" w:rsidTr="00126C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9549" w:type="dxa"/>
            <w:gridSpan w:val="3"/>
          </w:tcPr>
          <w:p w:rsidR="00126CE5" w:rsidRDefault="00126CE5" w:rsidP="00126CE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26CE5" w:rsidRDefault="00126CE5" w:rsidP="00126CE5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126CE5" w:rsidRDefault="00126CE5" w:rsidP="00126CE5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126CE5" w:rsidRDefault="00126CE5" w:rsidP="00126C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126CE5" w:rsidRDefault="00126CE5" w:rsidP="00126C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8F2F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8F2F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Dyrektora w sprawie wprowadzenia zmian w Regulaminie Organizacyjnym Szpitala Wielospecjalistycznego im. dr. L. Błażka w Inowrocławiu z dnia  </w:t>
            </w:r>
            <w:r w:rsidR="000532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2F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grudnia 202</w:t>
            </w:r>
            <w:r w:rsidR="000532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126CE5" w:rsidRDefault="00126CE5" w:rsidP="00126C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126CE5" w:rsidRDefault="00126CE5" w:rsidP="0012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E5" w:rsidRDefault="00126CE5" w:rsidP="00126CE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F2CD5" w:rsidRDefault="002F2CD5"/>
    <w:sectPr w:rsidR="002F2CD5" w:rsidSect="00150C4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5"/>
    <w:rsid w:val="00053286"/>
    <w:rsid w:val="00126CE5"/>
    <w:rsid w:val="00150C4B"/>
    <w:rsid w:val="002F2CD5"/>
    <w:rsid w:val="00800834"/>
    <w:rsid w:val="008F2F4E"/>
    <w:rsid w:val="009D7AB5"/>
    <w:rsid w:val="00E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cp:lastPrinted>2023-11-28T10:25:00Z</cp:lastPrinted>
  <dcterms:created xsi:type="dcterms:W3CDTF">2023-11-28T09:52:00Z</dcterms:created>
  <dcterms:modified xsi:type="dcterms:W3CDTF">2023-12-29T10:08:00Z</dcterms:modified>
</cp:coreProperties>
</file>