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7109"/>
        <w:gridCol w:w="1842"/>
      </w:tblGrid>
      <w:tr w:rsidR="00C06EB3" w:rsidRPr="00C06EB3" w:rsidTr="00B51F79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rPr>
                <w:rFonts w:ascii="Times New Roman" w:hAnsi="Times New Roman" w:cs="Times New Roman"/>
                <w:b/>
              </w:rPr>
            </w:pPr>
            <w:r w:rsidRPr="00C06EB3">
              <w:rPr>
                <w:rFonts w:ascii="Times New Roman" w:hAnsi="Times New Roman" w:cs="Times New Roman"/>
                <w:b/>
              </w:rPr>
              <w:t>Zakład Patomorfologii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Badanie histopatologiczne materiału tkankowego drobnego, </w:t>
            </w:r>
            <w:r w:rsidRPr="00C06EB3">
              <w:rPr>
                <w:rFonts w:ascii="Times New Roman" w:hAnsi="Times New Roman" w:cs="Times New Roman"/>
                <w:snapToGrid w:val="0"/>
              </w:rPr>
              <w:br/>
              <w:t>1 -3 blokowego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narząd/1 okolica anatomiczna)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50,00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Badanie histopatologiczne materiału tkankowego dużego, wieloblokowego, operacyjnego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narząd/1 okolica anatomiczna)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67,00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Badanie histopatologiczne śródoperacyjne "INTRA"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narząd/1 okolica anatomiczna))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Badanie histopatologiczne z materiału sekcyjnego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narząd/1 okolica anatomiczna))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45,00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Dodatkowe barwienie histochemiczne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oznaczenie)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16,00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Badanie immunohistochemiczne </w:t>
            </w:r>
            <w:r w:rsidRPr="00C06EB3">
              <w:rPr>
                <w:rFonts w:ascii="Times New Roman" w:hAnsi="Times New Roman" w:cs="Times New Roman"/>
                <w:snapToGrid w:val="0"/>
              </w:rPr>
              <w:br/>
              <w:t>(1 narząd/ 1p/ciało)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96,00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6a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Ocena amplifikacji HER-2 metodą SISH 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oznaczenie)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600,00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Badanie cytologiczne moczu i innych płynów ustrojowych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(1 narząd)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45,00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Badanie cytologiczne utrwalonego rozmazu  </w:t>
            </w:r>
            <w:r w:rsidRPr="00C06EB3">
              <w:rPr>
                <w:rFonts w:ascii="Times New Roman" w:hAnsi="Times New Roman" w:cs="Times New Roman"/>
                <w:snapToGrid w:val="0"/>
              </w:rPr>
              <w:br/>
              <w:t>(barwienie HE, ocena mikroskopowa)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trike/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23,00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Ocena mikroskopowa gotowego rozmazu cytologii ginekologicznej (konsultacja patomorfologiczna)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12,00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Badanie </w:t>
            </w:r>
            <w:proofErr w:type="spellStart"/>
            <w:r w:rsidRPr="00C06EB3">
              <w:rPr>
                <w:rFonts w:ascii="Times New Roman" w:hAnsi="Times New Roman" w:cs="Times New Roman"/>
                <w:snapToGrid w:val="0"/>
              </w:rPr>
              <w:t>cytologiczne-ginekologiczne</w:t>
            </w:r>
            <w:proofErr w:type="spellEnd"/>
            <w:r w:rsidRPr="00C06EB3">
              <w:rPr>
                <w:rFonts w:ascii="Times New Roman" w:hAnsi="Times New Roman" w:cs="Times New Roman"/>
                <w:snapToGrid w:val="0"/>
              </w:rPr>
              <w:t xml:space="preserve">  metodą </w:t>
            </w:r>
            <w:proofErr w:type="spellStart"/>
            <w:r w:rsidRPr="00C06EB3">
              <w:rPr>
                <w:rFonts w:ascii="Times New Roman" w:hAnsi="Times New Roman" w:cs="Times New Roman"/>
                <w:snapToGrid w:val="0"/>
              </w:rPr>
              <w:t>Papanicolaou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20,00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Biopsja aspiracyjna cienkoigłowa celowana (BACC) </w:t>
            </w:r>
            <w:r w:rsidRPr="00C06EB3">
              <w:rPr>
                <w:rFonts w:ascii="Times New Roman" w:hAnsi="Times New Roman" w:cs="Times New Roman"/>
                <w:snapToGrid w:val="0"/>
              </w:rPr>
              <w:br/>
              <w:t xml:space="preserve">pod kontrolą USG – pobranie materiału i ocena </w:t>
            </w:r>
          </w:p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 (1 narząd/1 okolica anatomiczna)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265,00</w:t>
            </w:r>
          </w:p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Autopsja naukowa (bez badań histopatologicznych)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1300,00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Przechowywanie zwłok w chłodni – 1 godzina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2,80</w:t>
            </w:r>
            <w:r w:rsidRPr="00C06EB3">
              <w:rPr>
                <w:rFonts w:ascii="Times New Roman" w:hAnsi="Times New Roman" w:cs="Times New Roman"/>
              </w:rPr>
              <w:t>*</w:t>
            </w:r>
            <w:r w:rsidRPr="00C06EB3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Toaleta zwłok  (dotyczy zwłok z terenu)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                            66,00* 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C06EB3">
              <w:rPr>
                <w:rFonts w:ascii="Times New Roman" w:hAnsi="Times New Roman" w:cs="Times New Roman"/>
                <w:i/>
                <w:iCs/>
                <w:snapToGrid w:val="0"/>
              </w:rPr>
              <w:t>skreślony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                            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Ubranie zwłok  (dotyczy zwłok z terenu)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 xml:space="preserve">                            55,00*</w:t>
            </w:r>
          </w:p>
        </w:tc>
      </w:tr>
      <w:tr w:rsidR="00C06EB3" w:rsidRPr="00C06EB3" w:rsidTr="00B51F79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EB3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3" w:rsidRPr="00C06EB3" w:rsidRDefault="00C06EB3" w:rsidP="00B51F79">
            <w:pPr>
              <w:ind w:left="-20"/>
              <w:rPr>
                <w:rFonts w:ascii="Times New Roman" w:hAnsi="Times New Roman" w:cs="Times New Roman"/>
                <w:i/>
                <w:snapToGrid w:val="0"/>
              </w:rPr>
            </w:pPr>
            <w:r w:rsidRPr="00C06EB3">
              <w:rPr>
                <w:rFonts w:ascii="Times New Roman" w:hAnsi="Times New Roman" w:cs="Times New Roman"/>
                <w:i/>
                <w:snapToGrid w:val="0"/>
              </w:rPr>
              <w:t>skreślony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3" w:rsidRPr="00C06EB3" w:rsidRDefault="00C06EB3" w:rsidP="00B51F79">
            <w:pPr>
              <w:ind w:left="-20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B51F79" w:rsidTr="00B51F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0"/>
        </w:trPr>
        <w:tc>
          <w:tcPr>
            <w:tcW w:w="9639" w:type="dxa"/>
            <w:gridSpan w:val="3"/>
          </w:tcPr>
          <w:p w:rsidR="00F36D39" w:rsidRPr="00F36D39" w:rsidRDefault="00F36D39" w:rsidP="00F36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EB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D</w:t>
            </w:r>
            <w:bookmarkStart w:id="0" w:name="_GoBack"/>
            <w:bookmarkEnd w:id="0"/>
            <w:r w:rsidRPr="00C06EB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o podanych kwot należy doliczyć podatek VAT</w:t>
            </w:r>
          </w:p>
          <w:p w:rsidR="00F36D39" w:rsidRDefault="00F36D39" w:rsidP="00F36D39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F36D39" w:rsidRDefault="00F36D39" w:rsidP="00F36D39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F36D39" w:rsidRDefault="00F36D39" w:rsidP="00F36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F36D39" w:rsidRDefault="00F36D39" w:rsidP="00F36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F36D39" w:rsidRDefault="00F36D39" w:rsidP="00F36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B51F79" w:rsidRDefault="00B51F79" w:rsidP="00B51F7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</w:tbl>
    <w:p w:rsidR="00B51F79" w:rsidRPr="00C06EB3" w:rsidRDefault="00B51F79">
      <w:pPr>
        <w:rPr>
          <w:sz w:val="18"/>
          <w:szCs w:val="18"/>
        </w:rPr>
      </w:pPr>
    </w:p>
    <w:sectPr w:rsidR="00B51F79" w:rsidRPr="00C0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96"/>
    <w:rsid w:val="00551A96"/>
    <w:rsid w:val="00B51F79"/>
    <w:rsid w:val="00C06EB3"/>
    <w:rsid w:val="00E11FE8"/>
    <w:rsid w:val="00F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dcterms:created xsi:type="dcterms:W3CDTF">2022-12-21T12:17:00Z</dcterms:created>
  <dcterms:modified xsi:type="dcterms:W3CDTF">2022-12-22T10:39:00Z</dcterms:modified>
</cp:coreProperties>
</file>